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drawing>
          <wp:inline xmlns:a="http://schemas.openxmlformats.org/drawingml/2006/main" xmlns:pic="http://schemas.openxmlformats.org/drawingml/2006/picture">
            <wp:extent cx="5166360" cy="1717699"/>
            <wp:docPr id="1" name="Picture 1"/>
            <wp:cNvGraphicFramePr>
              <a:graphicFrameLocks noChangeAspect="1"/>
            </wp:cNvGraphicFramePr>
            <a:graphic>
              <a:graphicData uri="http://schemas.openxmlformats.org/drawingml/2006/picture">
                <pic:pic>
                  <pic:nvPicPr>
                    <pic:cNvPr id="0" name="image1.jpeg"/>
                    <pic:cNvPicPr/>
                  </pic:nvPicPr>
                  <pic:blipFill>
                    <a:blip r:embed="rId9"/>
                    <a:stretch>
                      <a:fillRect/>
                    </a:stretch>
                  </pic:blipFill>
                  <pic:spPr>
                    <a:xfrm>
                      <a:off x="0" y="0"/>
                      <a:ext cx="5166360" cy="1717699"/>
                    </a:xfrm>
                    <a:prstGeom prst="rect"/>
                  </pic:spPr>
                </pic:pic>
              </a:graphicData>
            </a:graphic>
          </wp:inline>
        </w:drawing>
      </w:r>
    </w:p>
    <w:p>
      <w:pPr>
        <w:spacing w:after="20"/>
        <w:jc w:val="center"/>
      </w:pPr>
      <w:r>
        <w:rPr>
          <w:rFonts w:ascii="Arial" w:hAnsi="Arial"/>
          <w:b/>
          <w:color w:val="202824"/>
          <w:sz w:val="46"/>
        </w:rPr>
        <w:t>Kaiako Matua Head Teacher</w:t>
      </w:r>
    </w:p>
    <w:p>
      <w:pPr>
        <w:spacing w:after="200"/>
        <w:jc w:val="center"/>
      </w:pPr>
      <w:r>
        <w:rPr>
          <w:rFonts w:ascii="Arial" w:hAnsi="Arial"/>
          <w:b/>
          <w:color w:val="355B4A"/>
          <w:sz w:val="21"/>
        </w:rPr>
        <w:t>Position description and information pack  |  Fully certificated ECE</w:t>
      </w:r>
    </w:p>
    <w:tbl>
      <w:tblPr>
        <w:tblW w:type="auto" w:w="0"/>
        <w:jc w:val="center"/>
        <w:tblLayout w:type="fixed"/>
        <w:tblLook w:firstColumn="1" w:firstRow="1" w:lastColumn="0" w:lastRow="0" w:noHBand="0" w:noVBand="1" w:val="04A0"/>
      </w:tblPr>
      <w:tblGrid>
        <w:gridCol w:w="2232"/>
        <w:gridCol w:w="7704"/>
      </w:tblGrid>
      <w:tr>
        <w:tc>
          <w:tcPr>
            <w:tcW w:type="dxa" w:w="2232"/>
            <w:vAlign w:val="center"/>
            <w:shd w:fill="EEF3F0"/>
            <w:tcMar>
              <w:top w:w="70" w:type="dxa"/>
              <w:start w:w="110" w:type="dxa"/>
              <w:bottom w:w="70" w:type="dxa"/>
              <w:end w:w="110" w:type="dxa"/>
            </w:tcMar>
          </w:tcPr>
          <w:p>
            <w:r>
              <w:rPr>
                <w:rFonts w:ascii="Arial" w:hAnsi="Arial"/>
                <w:b/>
                <w:color w:val="355B4A"/>
                <w:sz w:val="19"/>
              </w:rPr>
              <w:t>Employer</w:t>
            </w:r>
          </w:p>
        </w:tc>
        <w:tc>
          <w:tcPr>
            <w:tcW w:type="dxa" w:w="7704"/>
            <w:vAlign w:val="center"/>
            <w:shd w:fill="EEF3F0"/>
            <w:tcMar>
              <w:top w:w="70" w:type="dxa"/>
              <w:start w:w="110" w:type="dxa"/>
              <w:bottom w:w="70" w:type="dxa"/>
              <w:end w:w="110" w:type="dxa"/>
            </w:tcMar>
          </w:tcPr>
          <w:p>
            <w:pPr>
              <w:spacing w:after="0"/>
            </w:pPr>
            <w:r>
              <w:rPr>
                <w:rFonts w:ascii="Arial" w:hAnsi="Arial"/>
                <w:sz w:val="19"/>
              </w:rPr>
              <w:t>Mauri Ltd</w:t>
            </w:r>
          </w:p>
        </w:tc>
      </w:tr>
      <w:tr>
        <w:tc>
          <w:tcPr>
            <w:tcW w:type="dxa" w:w="2232"/>
            <w:vAlign w:val="center"/>
            <w:shd w:fill="FFFFFF"/>
            <w:tcMar>
              <w:top w:w="70" w:type="dxa"/>
              <w:start w:w="110" w:type="dxa"/>
              <w:bottom w:w="70" w:type="dxa"/>
              <w:end w:w="110" w:type="dxa"/>
            </w:tcMar>
          </w:tcPr>
          <w:p>
            <w:r>
              <w:rPr>
                <w:rFonts w:ascii="Arial" w:hAnsi="Arial"/>
                <w:b/>
                <w:color w:val="355B4A"/>
                <w:sz w:val="19"/>
              </w:rPr>
              <w:t>Location</w:t>
            </w:r>
          </w:p>
        </w:tc>
        <w:tc>
          <w:tcPr>
            <w:tcW w:type="dxa" w:w="7704"/>
            <w:vAlign w:val="center"/>
            <w:shd w:fill="FFFFFF"/>
            <w:tcMar>
              <w:top w:w="70" w:type="dxa"/>
              <w:start w:w="110" w:type="dxa"/>
              <w:bottom w:w="70" w:type="dxa"/>
              <w:end w:w="110" w:type="dxa"/>
            </w:tcMar>
          </w:tcPr>
          <w:p>
            <w:pPr>
              <w:spacing w:after="0"/>
            </w:pPr>
            <w:r>
              <w:rPr>
                <w:rFonts w:ascii="Arial" w:hAnsi="Arial"/>
                <w:sz w:val="19"/>
              </w:rPr>
              <w:t>2 Shortland Street, Regent, Whangārei</w:t>
            </w:r>
          </w:p>
        </w:tc>
      </w:tr>
      <w:tr>
        <w:tc>
          <w:tcPr>
            <w:tcW w:type="dxa" w:w="2232"/>
            <w:vAlign w:val="center"/>
            <w:shd w:fill="EEF3F0"/>
            <w:tcMar>
              <w:top w:w="70" w:type="dxa"/>
              <w:start w:w="110" w:type="dxa"/>
              <w:bottom w:w="70" w:type="dxa"/>
              <w:end w:w="110" w:type="dxa"/>
            </w:tcMar>
          </w:tcPr>
          <w:p>
            <w:r>
              <w:rPr>
                <w:rFonts w:ascii="Arial" w:hAnsi="Arial"/>
                <w:b/>
                <w:color w:val="355B4A"/>
                <w:sz w:val="19"/>
              </w:rPr>
              <w:t>Employment</w:t>
            </w:r>
          </w:p>
        </w:tc>
        <w:tc>
          <w:tcPr>
            <w:tcW w:type="dxa" w:w="7704"/>
            <w:vAlign w:val="center"/>
            <w:shd w:fill="EEF3F0"/>
            <w:tcMar>
              <w:top w:w="70" w:type="dxa"/>
              <w:start w:w="110" w:type="dxa"/>
              <w:bottom w:w="70" w:type="dxa"/>
              <w:end w:w="110" w:type="dxa"/>
            </w:tcMar>
          </w:tcPr>
          <w:p>
            <w:pPr>
              <w:spacing w:after="0"/>
            </w:pPr>
            <w:r>
              <w:rPr>
                <w:rFonts w:ascii="Arial" w:hAnsi="Arial"/>
                <w:sz w:val="19"/>
              </w:rPr>
              <w:t>Permanent, full-time. Flexible part-time hours or shorter days may be discussed.</w:t>
            </w:r>
          </w:p>
        </w:tc>
      </w:tr>
      <w:tr>
        <w:tc>
          <w:tcPr>
            <w:tcW w:type="dxa" w:w="2232"/>
            <w:vAlign w:val="center"/>
            <w:shd w:fill="FFFFFF"/>
            <w:tcMar>
              <w:top w:w="70" w:type="dxa"/>
              <w:start w:w="110" w:type="dxa"/>
              <w:bottom w:w="70" w:type="dxa"/>
              <w:end w:w="110" w:type="dxa"/>
            </w:tcMar>
          </w:tcPr>
          <w:p>
            <w:r>
              <w:rPr>
                <w:rFonts w:ascii="Arial" w:hAnsi="Arial"/>
                <w:b/>
                <w:color w:val="355B4A"/>
                <w:sz w:val="19"/>
              </w:rPr>
              <w:t>Remuneration</w:t>
            </w:r>
          </w:p>
        </w:tc>
        <w:tc>
          <w:tcPr>
            <w:tcW w:type="dxa" w:w="7704"/>
            <w:vAlign w:val="center"/>
            <w:shd w:fill="FFFFFF"/>
            <w:tcMar>
              <w:top w:w="70" w:type="dxa"/>
              <w:start w:w="110" w:type="dxa"/>
              <w:bottom w:w="70" w:type="dxa"/>
              <w:end w:w="110" w:type="dxa"/>
            </w:tcMar>
          </w:tcPr>
          <w:p>
            <w:pPr>
              <w:spacing w:after="0"/>
            </w:pPr>
            <w:r>
              <w:rPr>
                <w:rFonts w:ascii="Arial" w:hAnsi="Arial"/>
                <w:sz w:val="19"/>
              </w:rPr>
              <w:t>$90,000–$110,000 per annum full-time equivalent, pro-rated for agreed part-time hours.</w:t>
            </w:r>
          </w:p>
        </w:tc>
      </w:tr>
      <w:tr>
        <w:tc>
          <w:tcPr>
            <w:tcW w:type="dxa" w:w="2232"/>
            <w:vAlign w:val="center"/>
            <w:shd w:fill="EEF3F0"/>
            <w:tcMar>
              <w:top w:w="70" w:type="dxa"/>
              <w:start w:w="110" w:type="dxa"/>
              <w:bottom w:w="70" w:type="dxa"/>
              <w:end w:w="110" w:type="dxa"/>
            </w:tcMar>
          </w:tcPr>
          <w:p>
            <w:r>
              <w:rPr>
                <w:rFonts w:ascii="Arial" w:hAnsi="Arial"/>
                <w:b/>
                <w:color w:val="355B4A"/>
                <w:sz w:val="19"/>
              </w:rPr>
              <w:t>Reports to</w:t>
            </w:r>
          </w:p>
        </w:tc>
        <w:tc>
          <w:tcPr>
            <w:tcW w:type="dxa" w:w="7704"/>
            <w:vAlign w:val="center"/>
            <w:shd w:fill="EEF3F0"/>
            <w:tcMar>
              <w:top w:w="70" w:type="dxa"/>
              <w:start w:w="110" w:type="dxa"/>
              <w:bottom w:w="70" w:type="dxa"/>
              <w:end w:w="110" w:type="dxa"/>
            </w:tcMar>
          </w:tcPr>
          <w:p>
            <w:r>
              <w:t>Director of Education</w:t>
            </w:r>
          </w:p>
        </w:tc>
      </w:tr>
    </w:tbl>
    <w:p>
      <w:pPr>
        <w:pStyle w:val="Heading1"/>
      </w:pPr>
      <w:r>
        <w:t>About Mauri</w:t>
      </w:r>
    </w:p>
    <w:p>
      <w:r>
        <w:t>Mauri: Centre of Innovation is a reo rua early learning centre in Whangārei, Te Terenga Paraoa, on a five-year journey towards immersion. “Kia tupu te mauri, kia rangatira ai te whānau” is our kaupapa. We offer an authentic, whānau-centred environment where our people are encouraged to learn, question and make mistakes as part of growing and improving.</w:t>
      </w:r>
    </w:p>
    <w:p>
      <w:r>
        <w:t>Our purpose-designed environment includes movement, science, art and sensory spaces, alongside outdoor areas for exploration. Our curriculum draws on Te Whāriki – Te Ara Māori, Kōwhiti Whakapae and innovation in practice. Place-based learning connects tamariki with the people, histories and places of Te Tai Tokerau.</w:t>
      </w:r>
    </w:p>
    <w:p>
      <w:pPr>
        <w:pStyle w:val="Heading1"/>
      </w:pPr>
      <w:r>
        <w:t>The opportunity</w:t>
      </w:r>
    </w:p>
    <w:p>
      <w:r>
        <w:t>This is a hands-on teaching and leadership role with real scope to shape how Mauri’s kaupapa is lived in everyday practice. You will teach alongside a small, collaborative team, lead teaching and day-to-day operations, and support kaiako to provide safe, thoughtful, high-quality learning. The role includes protected non-contact time for leadership, planning and mentoring. Financial management sits with the Director.</w:t>
      </w:r>
    </w:p>
    <w:p>
      <w:pPr>
        <w:pStyle w:val="Heading1"/>
      </w:pPr>
      <w:r>
        <w:t>Key responsibilities</w:t>
      </w:r>
    </w:p>
    <w:p>
      <w:pPr>
        <w:pStyle w:val="Heading2"/>
      </w:pPr>
      <w:r>
        <w:t>Pedagogical leadership and teaching</w:t>
      </w:r>
    </w:p>
    <w:p>
      <w:pPr>
        <w:pStyle w:val="ListBullet"/>
        <w:spacing w:after="50"/>
        <w:ind w:left="331" w:hanging="230"/>
      </w:pPr>
      <w:r>
        <w:t>Lead and model intentional teaching grounded in Te Whāriki – Te Ara Māori, Kōwhiti Whakapae and the interests, strengths and aspirations of tamariki.</w:t>
      </w:r>
    </w:p>
    <w:p>
      <w:pPr>
        <w:pStyle w:val="ListBullet"/>
        <w:spacing w:after="50"/>
        <w:ind w:left="331" w:hanging="230"/>
      </w:pPr>
      <w:r>
        <w:t>Guide curriculum planning, assessment, learning documentation and internal evaluation; use reflection and evidence to strengthen practice.</w:t>
      </w:r>
    </w:p>
    <w:p>
      <w:pPr>
        <w:pStyle w:val="ListBullet"/>
        <w:spacing w:after="50"/>
        <w:ind w:left="331" w:hanging="230"/>
      </w:pPr>
      <w:r>
        <w:t>Work alongside kaiako in the learning environment and support a safe, engaging programme across indoor and outdoor spaces.</w:t>
      </w:r>
    </w:p>
    <w:p>
      <w:pPr>
        <w:pStyle w:val="ListBullet"/>
        <w:spacing w:after="50"/>
        <w:ind w:left="331" w:hanging="230"/>
      </w:pPr>
      <w:r>
        <w:t>Mentor and coach kaiako, building confidence, shared understanding and a culture of professional learning.</w:t>
      </w:r>
    </w:p>
    <w:p>
      <w:pPr>
        <w:pStyle w:val="Heading2"/>
        <w:pageBreakBefore/>
      </w:pPr>
      <w:r>
        <w:t>People, whānau and kaupapa</w:t>
      </w:r>
    </w:p>
    <w:p>
      <w:pPr>
        <w:pStyle w:val="ListBullet"/>
        <w:spacing w:after="50"/>
        <w:ind w:left="331" w:hanging="230"/>
      </w:pPr>
      <w:r>
        <w:t>Build respectful, trusting relationships with tamariki, whānau, hapū, iwi and community; make space for whānau knowledge and aspirations.</w:t>
      </w:r>
    </w:p>
    <w:p>
      <w:pPr>
        <w:pStyle w:val="ListBullet"/>
        <w:spacing w:after="50"/>
        <w:ind w:left="331" w:hanging="230"/>
      </w:pPr>
      <w:r>
        <w:t>Support the everyday use and growth of te reo Māori and tikanga. Our team includes fluent reo speakers and kura kaupapa graduates in teaching support roles who contribute to tamariki and kaiako reo journeys.</w:t>
      </w:r>
    </w:p>
    <w:p>
      <w:pPr>
        <w:pStyle w:val="ListBullet"/>
        <w:spacing w:after="50"/>
        <w:ind w:left="331" w:hanging="230"/>
      </w:pPr>
      <w:r>
        <w:t>Uphold kaupapa Māori and Te Tiriti o Waitangi, and help connect learning with He Whakaputanga, local histories and place.</w:t>
      </w:r>
    </w:p>
    <w:p>
      <w:pPr>
        <w:pStyle w:val="Heading2"/>
      </w:pPr>
      <w:r>
        <w:t>Centre operations and compliance</w:t>
      </w:r>
    </w:p>
    <w:p>
      <w:pPr>
        <w:pStyle w:val="ListBullet"/>
        <w:spacing w:after="50"/>
        <w:ind w:left="331" w:hanging="230"/>
      </w:pPr>
      <w:r>
        <w:t>Coordinate tamariki enrolments and support occupancy management and clear communication with whānau.</w:t>
      </w:r>
    </w:p>
    <w:p>
      <w:pPr>
        <w:pStyle w:val="ListBullet"/>
        <w:spacing w:after="50"/>
        <w:ind w:left="331" w:hanging="230"/>
      </w:pPr>
      <w:r>
        <w:t>Maintain assigned centre records and systems, including appropriate use of ICT.</w:t>
      </w:r>
    </w:p>
    <w:p>
      <w:pPr>
        <w:pStyle w:val="ListBullet"/>
        <w:spacing w:after="50"/>
        <w:ind w:left="331" w:hanging="230"/>
      </w:pPr>
      <w:r>
        <w:t>Support health and safety practice and readiness for licensing, ERO and Ministry of Education requirements.</w:t>
      </w:r>
    </w:p>
    <w:p>
      <w:pPr>
        <w:pStyle w:val="Heading1"/>
      </w:pPr>
      <w:r>
        <w:t>About you</w:t>
      </w:r>
    </w:p>
    <w:p>
      <w:r>
        <w:t>You may be an accomplished ECE leader looking for a fresh opportunity to shape something new, or a strong kaiako ready to stretch into leadership. You bring sound judgement, care deeply about tamariki wellbeing and can work through challenges practically and collaboratively.</w:t>
      </w:r>
    </w:p>
    <w:p>
      <w:pPr>
        <w:pStyle w:val="ListBullet"/>
        <w:spacing w:after="50"/>
        <w:ind w:left="331" w:hanging="230"/>
      </w:pPr>
      <w:r>
        <w:t>Recognised New Zealand ECE teaching qualification and current practising certificate.</w:t>
      </w:r>
    </w:p>
    <w:p>
      <w:pPr>
        <w:pStyle w:val="ListBullet"/>
        <w:spacing w:after="50"/>
        <w:ind w:left="331" w:hanging="230"/>
      </w:pPr>
      <w:r>
        <w:t>Strong early childhood practice and knowledge of intentional teaching, Te Whāriki, assessment and planning.</w:t>
      </w:r>
    </w:p>
    <w:p>
      <w:pPr>
        <w:pStyle w:val="ListBullet"/>
        <w:spacing w:after="50"/>
        <w:ind w:left="331" w:hanging="230"/>
      </w:pPr>
      <w:r>
        <w:t>Leadership experience, or meaningful experience learning alongside a strong leader, with a genuine interest in growing others.</w:t>
      </w:r>
    </w:p>
    <w:p>
      <w:pPr>
        <w:pStyle w:val="ListBullet"/>
        <w:spacing w:after="50"/>
        <w:ind w:left="331" w:hanging="230"/>
      </w:pPr>
      <w:r>
        <w:t>Excellent organisation and attention to detail across teaching and centre administration.</w:t>
      </w:r>
    </w:p>
    <w:p>
      <w:pPr>
        <w:pStyle w:val="ListBullet"/>
        <w:spacing w:after="50"/>
        <w:ind w:left="331" w:hanging="230"/>
      </w:pPr>
      <w:r>
        <w:t>A reflective, solutions-focused approach and confidence to lead change without blame.</w:t>
      </w:r>
    </w:p>
    <w:p>
      <w:pPr>
        <w:pStyle w:val="ListBullet"/>
        <w:spacing w:after="50"/>
        <w:ind w:left="331" w:hanging="230"/>
      </w:pPr>
      <w:r>
        <w:t>Commitment to kaupapa Māori and Te Tiriti o Waitangi, with willingness to learn and use te reo Māori. Fluency is not required; funded professional learning is available.</w:t>
      </w:r>
    </w:p>
    <w:p>
      <w:pPr>
        <w:pStyle w:val="ListBullet"/>
        <w:spacing w:after="50"/>
        <w:ind w:left="331" w:hanging="230"/>
      </w:pPr>
      <w:r>
        <w:t>Curiosity about innovation, including thoughtful uses of AI or robotics that support teaching and learning.</w:t>
      </w:r>
    </w:p>
    <w:p>
      <w:pPr>
        <w:pStyle w:val="Heading1"/>
      </w:pPr>
      <w:r>
        <w:t>What Mauri offers</w:t>
      </w:r>
    </w:p>
    <w:p>
      <w:pPr>
        <w:pStyle w:val="ListBullet"/>
        <w:spacing w:after="50"/>
        <w:ind w:left="331" w:hanging="230"/>
      </w:pPr>
      <w:r>
        <w:t>A chance to shape teaching practice and contribute to the development of a growing reo rua centre.</w:t>
      </w:r>
    </w:p>
    <w:p>
      <w:pPr>
        <w:pStyle w:val="ListBullet"/>
        <w:spacing w:after="50"/>
        <w:ind w:left="331" w:hanging="230"/>
      </w:pPr>
      <w:r>
        <w:t>Protected non-contact time for leadership, planning and mentoring.</w:t>
      </w:r>
    </w:p>
    <w:p>
      <w:pPr>
        <w:pStyle w:val="ListBullet"/>
        <w:spacing w:after="50"/>
        <w:ind w:left="331" w:hanging="230"/>
      </w:pPr>
      <w:r>
        <w:t>Funded professional learning to grow your te reo Māori.</w:t>
      </w:r>
    </w:p>
    <w:p>
      <w:pPr>
        <w:pStyle w:val="ListBullet"/>
        <w:spacing w:after="50"/>
        <w:ind w:left="331" w:hanging="230"/>
      </w:pPr>
      <w:r>
        <w:t>A small collaborative team, organisational support from the Director and real influence over day-to-day teaching practice.</w:t>
      </w:r>
    </w:p>
    <w:p>
      <w:pPr>
        <w:pStyle w:val="ListBullet"/>
        <w:spacing w:after="50"/>
        <w:ind w:left="331" w:hanging="230"/>
      </w:pPr>
      <w:r>
        <w:t>Permanent full-time employment, with flexibility to discuss part-time hours or shorter days for the right applicant.</w:t>
      </w:r>
    </w:p>
    <w:p>
      <w:pPr>
        <w:pStyle w:val="ListBullet"/>
        <w:spacing w:after="50"/>
        <w:ind w:left="331" w:hanging="230"/>
      </w:pPr>
      <w:r>
        <w:t>Salary of $90,000–$110,000 per annum FTE, pro-rated for agreed part-time hours.</w:t>
      </w:r>
    </w:p>
    <w:p>
      <w:pPr>
        <w:pStyle w:val="Heading1"/>
      </w:pPr>
      <w:r>
        <w:t>Learning and innovation at Mauri</w:t>
      </w:r>
    </w:p>
    <w:p>
      <w:r>
        <w:t>Our current He Whakaputanga inquiry has included whānau feedback about rangatiratanga and haerenga to Waitangi and Whangāroa; it is already prompting several changes to practice. We use the public bus to attend community events, making local places and people part of learning. Tamariki contribute to scrapbook-style portfolios and can print their own mahi in the learning space. Kura kaupapa graduates bring reo Māori strengths into everyday learning, supporting tamariki and certificated kaiako on their reo journeys. We’re curious about human–AI collaboration: using AI thoughtfully for suitable routine tasks while kaiako bring the relationships, professional judgement and creativity at the heart of early learning. Our robot vacuum is called “ngōngō”.</w:t>
      </w:r>
    </w:p>
    <w:p>
      <w:pPr>
        <w:pStyle w:val="Heading1"/>
      </w:pPr>
      <w:r>
        <w:t>How to apply</w:t>
      </w:r>
    </w:p>
    <w:p>
      <w:r>
        <w:t>Apply using the separate link on the Education Gazette listing. Please include your CV and a brief cover letter describing something you have wanted to try as a leader but have not yet had the opportunity to explore, and what role you think AI or robotics could have in early childhood education.</w:t>
      </w:r>
    </w:p>
    <w:sectPr w:rsidR="00FC693F" w:rsidRPr="0006063C" w:rsidSect="00034616">
      <w:footerReference w:type="default" r:id="rId10"/>
      <w:pgSz w:w="11909" w:h="16834"/>
      <w:pgMar w:top="792"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Arial" w:hAnsi="Arial"/>
        <w:color w:val="66736C"/>
        <w:sz w:val="16"/>
      </w:rPr>
      <w:t>Mauri: Centre of Innovation  •  2 Shortland Street, Regent, Whangārei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0282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Arial" w:hAnsi="Arial"/>
      <w:b/>
      <w:bCs/>
      <w:color w:val="355B4A"/>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355B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