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4023360" cy="1337677"/>
            <wp:docPr id="1" name="Picture 1"/>
            <wp:cNvGraphicFramePr>
              <a:graphicFrameLocks noChangeAspect="1"/>
            </wp:cNvGraphicFramePr>
            <a:graphic>
              <a:graphicData uri="http://schemas.openxmlformats.org/drawingml/2006/picture">
                <pic:pic>
                  <pic:nvPicPr>
                    <pic:cNvPr id="0" name="IMG_4404.jpeg"/>
                    <pic:cNvPicPr/>
                  </pic:nvPicPr>
                  <pic:blipFill>
                    <a:blip r:embed="rId9"/>
                    <a:stretch>
                      <a:fillRect/>
                    </a:stretch>
                  </pic:blipFill>
                  <pic:spPr>
                    <a:xfrm>
                      <a:off x="0" y="0"/>
                      <a:ext cx="4023360" cy="1337677"/>
                    </a:xfrm>
                    <a:prstGeom prst="rect"/>
                  </pic:spPr>
                </pic:pic>
              </a:graphicData>
            </a:graphic>
          </wp:inline>
        </w:drawing>
      </w:r>
    </w:p>
    <w:p>
      <w:pPr>
        <w:pStyle w:val="Title"/>
        <w:jc w:val="center"/>
      </w:pPr>
      <w:r>
        <w:t>Certificated ECE Kaiako Role Details</w:t>
      </w:r>
    </w:p>
    <w:p>
      <w:pPr>
        <w:spacing w:after="200"/>
        <w:jc w:val="center"/>
      </w:pPr>
      <w:r>
        <w:rPr>
          <w:b/>
          <w:color w:val="4B4B4B"/>
          <w:sz w:val="22"/>
        </w:rPr>
        <w:t>Mauri: Centre of Innovation  |  Whangārei</w:t>
      </w:r>
    </w:p>
    <w:p>
      <w:pPr>
        <w:spacing w:after="160"/>
      </w:pPr>
      <w:r>
        <w:rPr>
          <w:b w:val="0"/>
        </w:rPr>
        <w:t xml:space="preserve">This document provides further information about the certificated ECE kaiako vacancy advertised through Education Gazette. </w:t>
      </w:r>
      <w:r>
        <w:t>The role is part-time with negotiable hours and potential for full-time employment.</w:t>
      </w:r>
    </w:p>
    <w:tbl>
      <w:tblPr>
        <w:tblW w:type="auto" w:w="0"/>
        <w:jc w:val="center"/>
        <w:tblLayout w:type="fixed"/>
        <w:tblLook w:firstColumn="1" w:firstRow="1" w:lastColumn="0" w:lastRow="0" w:noHBand="0" w:noVBand="1" w:val="04A0"/>
      </w:tblPr>
      <w:tblGrid>
        <w:gridCol w:w="2232"/>
        <w:gridCol w:w="8136"/>
      </w:tblGrid>
      <w:tr>
        <w:tc>
          <w:tcPr>
            <w:tcW w:type="dxa" w:w="4997"/>
            <w:vAlign w:val="center"/>
            <w:shd w:fill="355646"/>
          </w:tcPr>
          <w:p>
            <w:r>
              <w:rPr>
                <w:b/>
                <w:color w:val="FFFFFF"/>
                <w:sz w:val="19"/>
              </w:rPr>
              <w:t>Role details</w:t>
            </w:r>
          </w:p>
        </w:tc>
        <w:tc>
          <w:tcPr>
            <w:tcW w:type="dxa" w:w="4997"/>
            <w:vAlign w:val="center"/>
            <w:shd w:fill="355646"/>
          </w:tcPr>
          <w:p>
            <w:r>
              <w:rPr>
                <w:b/>
                <w:color w:val="FFFFFF"/>
                <w:sz w:val="19"/>
              </w:rPr>
              <w:t>Information</w:t>
            </w:r>
          </w:p>
        </w:tc>
      </w:tr>
      <w:tr>
        <w:tc>
          <w:tcPr>
            <w:tcW w:type="dxa" w:w="2232"/>
            <w:vAlign w:val="center"/>
            <w:tcBorders>
              <w:top w:val="single" w:sz="5" w:color="D9D9D9"/>
              <w:left w:val="single" w:sz="5" w:color="D9D9D9"/>
              <w:bottom w:val="single" w:sz="5" w:color="D9D9D9"/>
              <w:right w:val="single" w:sz="5" w:color="D9D9D9"/>
              <w:insideH w:val="single" w:sz="5" w:color="D9D9D9"/>
              <w:insideV w:val="single" w:sz="5" w:color="D9D9D9"/>
            </w:tcBorders>
          </w:tcPr>
          <w:p>
            <w:pPr>
              <w:spacing w:after="40" w:before="40"/>
            </w:pPr>
            <w:r>
              <w:rPr>
                <w:b/>
                <w:sz w:val="19"/>
              </w:rPr>
              <w:t>Position</w:t>
            </w:r>
          </w:p>
        </w:tc>
        <w:tc>
          <w:tcPr>
            <w:tcW w:type="dxa" w:w="8136"/>
            <w:vAlign w:val="center"/>
            <w:tcBorders>
              <w:top w:val="single" w:sz="5" w:color="D9D9D9"/>
              <w:left w:val="single" w:sz="5" w:color="D9D9D9"/>
              <w:bottom w:val="single" w:sz="5" w:color="D9D9D9"/>
              <w:right w:val="single" w:sz="5" w:color="D9D9D9"/>
              <w:insideH w:val="single" w:sz="5" w:color="D9D9D9"/>
              <w:insideV w:val="single" w:sz="5" w:color="D9D9D9"/>
            </w:tcBorders>
          </w:tcPr>
          <w:p>
            <w:pPr>
              <w:spacing w:after="40" w:before="40"/>
            </w:pPr>
            <w:r>
              <w:rPr>
                <w:sz w:val="19"/>
              </w:rPr>
              <w:t>Certificated ECE Kaiako</w:t>
            </w:r>
          </w:p>
        </w:tc>
      </w:tr>
      <w:tr>
        <w:tc>
          <w:tcPr>
            <w:tcW w:type="dxa" w:w="2232"/>
            <w:vAlign w:val="center"/>
            <w:tcBorders>
              <w:top w:val="single" w:sz="5" w:color="D9D9D9"/>
              <w:left w:val="single" w:sz="5" w:color="D9D9D9"/>
              <w:bottom w:val="single" w:sz="5" w:color="D9D9D9"/>
              <w:right w:val="single" w:sz="5" w:color="D9D9D9"/>
              <w:insideH w:val="single" w:sz="5" w:color="D9D9D9"/>
              <w:insideV w:val="single" w:sz="5" w:color="D9D9D9"/>
            </w:tcBorders>
          </w:tcPr>
          <w:p>
            <w:pPr>
              <w:spacing w:after="40" w:before="40"/>
            </w:pPr>
            <w:r>
              <w:rPr>
                <w:b/>
                <w:sz w:val="19"/>
              </w:rPr>
              <w:t>Location</w:t>
            </w:r>
          </w:p>
        </w:tc>
        <w:tc>
          <w:tcPr>
            <w:tcW w:type="dxa" w:w="8136"/>
            <w:vAlign w:val="center"/>
            <w:tcBorders>
              <w:top w:val="single" w:sz="5" w:color="D9D9D9"/>
              <w:left w:val="single" w:sz="5" w:color="D9D9D9"/>
              <w:bottom w:val="single" w:sz="5" w:color="D9D9D9"/>
              <w:right w:val="single" w:sz="5" w:color="D9D9D9"/>
              <w:insideH w:val="single" w:sz="5" w:color="D9D9D9"/>
              <w:insideV w:val="single" w:sz="5" w:color="D9D9D9"/>
            </w:tcBorders>
          </w:tcPr>
          <w:p>
            <w:pPr>
              <w:spacing w:after="40" w:before="40"/>
            </w:pPr>
            <w:r>
              <w:rPr>
                <w:sz w:val="19"/>
              </w:rPr>
              <w:t>2 Shortland Street, Regent, Whangārei</w:t>
            </w:r>
          </w:p>
        </w:tc>
      </w:tr>
      <w:tr>
        <w:tc>
          <w:tcPr>
            <w:tcW w:type="dxa" w:w="2232"/>
            <w:vAlign w:val="center"/>
            <w:tcBorders>
              <w:top w:val="single" w:sz="5" w:color="D9D9D9"/>
              <w:left w:val="single" w:sz="5" w:color="D9D9D9"/>
              <w:bottom w:val="single" w:sz="5" w:color="D9D9D9"/>
              <w:right w:val="single" w:sz="5" w:color="D9D9D9"/>
              <w:insideH w:val="single" w:sz="5" w:color="D9D9D9"/>
              <w:insideV w:val="single" w:sz="5" w:color="D9D9D9"/>
            </w:tcBorders>
          </w:tcPr>
          <w:p>
            <w:pPr>
              <w:spacing w:after="40" w:before="40"/>
            </w:pPr>
            <w:r>
              <w:rPr>
                <w:b/>
                <w:sz w:val="19"/>
              </w:rPr>
              <w:t>Hours</w:t>
            </w:r>
          </w:p>
        </w:tc>
        <w:tc>
          <w:tcPr>
            <w:tcW w:type="dxa" w:w="8136"/>
            <w:vAlign w:val="center"/>
            <w:tcBorders>
              <w:top w:val="single" w:sz="5" w:color="D9D9D9"/>
              <w:left w:val="single" w:sz="5" w:color="D9D9D9"/>
              <w:bottom w:val="single" w:sz="5" w:color="D9D9D9"/>
              <w:right w:val="single" w:sz="5" w:color="D9D9D9"/>
              <w:insideH w:val="single" w:sz="5" w:color="D9D9D9"/>
              <w:insideV w:val="single" w:sz="5" w:color="D9D9D9"/>
            </w:tcBorders>
          </w:tcPr>
          <w:p>
            <w:pPr>
              <w:spacing w:after="40" w:before="40"/>
            </w:pPr>
            <w:r>
              <w:rPr>
                <w:sz w:val="19"/>
              </w:rPr>
              <w:t>Part-time; days and hours negotiable, with potential for full-time employment</w:t>
            </w:r>
          </w:p>
        </w:tc>
      </w:tr>
      <w:tr>
        <w:tc>
          <w:tcPr>
            <w:tcW w:type="dxa" w:w="2232"/>
            <w:vAlign w:val="center"/>
            <w:tcBorders>
              <w:top w:val="single" w:sz="5" w:color="D9D9D9"/>
              <w:left w:val="single" w:sz="5" w:color="D9D9D9"/>
              <w:bottom w:val="single" w:sz="5" w:color="D9D9D9"/>
              <w:right w:val="single" w:sz="5" w:color="D9D9D9"/>
              <w:insideH w:val="single" w:sz="5" w:color="D9D9D9"/>
              <w:insideV w:val="single" w:sz="5" w:color="D9D9D9"/>
            </w:tcBorders>
          </w:tcPr>
          <w:p>
            <w:pPr>
              <w:spacing w:after="40" w:before="40"/>
            </w:pPr>
            <w:r>
              <w:rPr>
                <w:b/>
                <w:sz w:val="19"/>
              </w:rPr>
              <w:t>Remuneration</w:t>
            </w:r>
          </w:p>
        </w:tc>
        <w:tc>
          <w:tcPr>
            <w:tcW w:type="dxa" w:w="8136"/>
            <w:vAlign w:val="center"/>
            <w:tcBorders>
              <w:top w:val="single" w:sz="5" w:color="D9D9D9"/>
              <w:left w:val="single" w:sz="5" w:color="D9D9D9"/>
              <w:bottom w:val="single" w:sz="5" w:color="D9D9D9"/>
              <w:right w:val="single" w:sz="5" w:color="D9D9D9"/>
              <w:insideH w:val="single" w:sz="5" w:color="D9D9D9"/>
              <w:insideV w:val="single" w:sz="5" w:color="D9D9D9"/>
            </w:tcBorders>
          </w:tcPr>
          <w:p>
            <w:pPr>
              <w:spacing w:after="40" w:before="40"/>
            </w:pPr>
            <w:r>
              <w:rPr>
                <w:sz w:val="19"/>
              </w:rPr>
              <w:t>$57,358–$96,820 per annum full-time equivalent, depending on the applicable full pay parity step</w:t>
            </w:r>
          </w:p>
        </w:tc>
      </w:tr>
    </w:tbl>
    <w:p>
      <w:pPr>
        <w:pStyle w:val="Heading1"/>
      </w:pPr>
      <w:r>
        <w:t>About Mauri</w:t>
      </w:r>
    </w:p>
    <w:p>
      <w:r>
        <w:t>Mauri is a reo rua early learning centre in Whangārei, on a five-year journey towards immersion. Our kaupapa is “Kia tupu te mauri, kia rangatira ai te whānau” — nurturing mauri so whānau can flourish. We value a warm, whānau-centred feel where tamariki and whānau are known, welcomed and connected to the life of the centre.</w:t>
      </w:r>
    </w:p>
    <w:p>
      <w:r>
        <w:t>Our purpose-designed environment includes movement, science, art and sensory spaces, as well as outdoor areas for exploration. Our curriculum draws on Te Whāriki – Te Ara Māori and Kōwhiti Whakapae. We value intentional teaching, curiosity, reflection and trying ideas that deepen learning.</w:t>
      </w:r>
    </w:p>
    <w:p>
      <w:pPr>
        <w:pStyle w:val="Heading1"/>
      </w:pPr>
      <w:r>
        <w:t>What makes Mauri distinctive</w:t>
      </w:r>
    </w:p>
    <w:p>
      <w:pPr/>
      <w:r>
        <w:t>Learning reaches beyond our gates. Our current inquiry into He Whakaputanga includes haerenga to Waitangi and Whangāroa. We also take tamariki by public bus to community events, making local places, people and the journey itself part of a place-based curriculum.</w:t>
      </w:r>
    </w:p>
    <w:p>
      <w:pPr/>
      <w:r>
        <w:t>Tamariki help shape how their learning is captured and shared. They create scrapbook portfolios, and the printer is in the learning space so tamariki can choose and print their own mahi.</w:t>
      </w:r>
    </w:p>
    <w:p>
      <w:pPr/>
      <w:r>
        <w:t>Our team intentionally includes kura kaupapa graduates in unqualified teaching support roles. Their reo Māori strengths are part of everyday learning and support the reo journeys of tamariki and certificated kaiako.</w:t>
      </w:r>
    </w:p>
    <w:p>
      <w:pPr>
        <w:pStyle w:val="Heading1"/>
      </w:pPr>
      <w:r>
        <w:t>The role</w:t>
      </w:r>
    </w:p>
    <w:p>
      <w:r>
        <w:t>This is a hands-on teaching position. You will work as part of a small, collaborative team to provide safe, thoughtful and engaging learning for tamariki. You will contribute your strengths and ideas while learning alongside other kaiako.</w:t>
      </w:r>
    </w:p>
    <w:p>
      <w:pPr/>
      <w:r>
        <w:t>We are curious about human–AI collaboration: AI may help with suitable routine tasks, while kaiako bring the relationships, professional judgement and creativity that matter in early learning. Curiosity shows up in small ways too—even our robot vacuum has a name: Ngōngō.</w:t>
      </w:r>
    </w:p>
    <w:p>
      <w:pPr>
        <w:pStyle w:val="Heading1"/>
        <w:pageBreakBefore w:val="0"/>
      </w:pPr>
      <w:r>
        <w:t>Key responsibilities</w:t>
      </w:r>
    </w:p>
    <w:p>
      <w:pPr>
        <w:pStyle w:val="ListBullet"/>
        <w:spacing w:after="40"/>
      </w:pPr>
      <w:r>
        <w:t>Build warm, responsive relationships with tamariki and whānau, supporting wellbeing, belonging and learning.</w:t>
      </w:r>
    </w:p>
    <w:p>
      <w:pPr>
        <w:pStyle w:val="ListBullet"/>
        <w:spacing w:after="40"/>
      </w:pPr>
      <w:r>
        <w:t>Plan intentional experiences indoors and outdoors that respond to tamariki’s interests, strengths and aspirations.</w:t>
      </w:r>
    </w:p>
    <w:p>
      <w:pPr>
        <w:pStyle w:val="ListBullet"/>
        <w:spacing w:after="40"/>
      </w:pPr>
      <w:r>
        <w:t>Contribute to observation, assessment, learning documentation, curriculum planning and evaluation.</w:t>
      </w:r>
    </w:p>
    <w:p>
      <w:pPr>
        <w:pStyle w:val="ListBullet"/>
        <w:spacing w:after="40"/>
      </w:pPr>
      <w:r>
        <w:t>Work collaboratively with kaiako, sharing ideas, reflecting on practice and contributing to a positive, solutions-focused culture.</w:t>
      </w:r>
    </w:p>
    <w:p>
      <w:pPr>
        <w:pStyle w:val="ListBullet"/>
        <w:spacing w:after="40"/>
      </w:pPr>
      <w:r>
        <w:t>Bring Mauri’s kaupapa Māori values into everyday practice and help strengthen te reo Māori across the centre.</w:t>
      </w:r>
    </w:p>
    <w:p>
      <w:pPr>
        <w:pStyle w:val="ListBullet"/>
        <w:spacing w:after="40"/>
      </w:pPr>
      <w:r>
        <w:t>Maintain a safe, well-organised environment and follow centre policies and health and safety practices.</w:t>
      </w:r>
    </w:p>
    <w:p>
      <w:pPr>
        <w:pStyle w:val="Heading1"/>
      </w:pPr>
      <w:r>
        <w:t>About you</w:t>
      </w:r>
    </w:p>
    <w:p>
      <w:r>
        <w:t>You will bring:</w:t>
      </w:r>
    </w:p>
    <w:p>
      <w:pPr>
        <w:pStyle w:val="ListBullet"/>
        <w:spacing w:after="40"/>
      </w:pPr>
      <w:r>
        <w:t>A recognised ECE teaching qualification and a current New Zealand practising certificate.</w:t>
      </w:r>
    </w:p>
    <w:p>
      <w:pPr>
        <w:pStyle w:val="ListBullet"/>
        <w:spacing w:after="40"/>
      </w:pPr>
      <w:r>
        <w:t>A commitment to high-quality teaching and learning, with a sound understanding of intentional teaching, assessment and planning.</w:t>
      </w:r>
    </w:p>
    <w:p>
      <w:pPr>
        <w:pStyle w:val="ListBullet"/>
        <w:spacing w:after="40"/>
      </w:pPr>
      <w:r>
        <w:t>Strong relationship-building and communication skills.</w:t>
      </w:r>
    </w:p>
    <w:p>
      <w:pPr>
        <w:pStyle w:val="ListBullet"/>
        <w:spacing w:after="40"/>
      </w:pPr>
      <w:r>
        <w:t>A reflective, collaborative approach, with creativity, initiative and a willingness to try new things.</w:t>
      </w:r>
    </w:p>
    <w:p>
      <w:pPr>
        <w:pStyle w:val="ListBullet"/>
        <w:spacing w:after="40"/>
      </w:pPr>
      <w:r>
        <w:t>A commitment to kaupapa Māori and an interest in continuing to develop your te reo Māori.</w:t>
      </w:r>
    </w:p>
    <w:p>
      <w:r>
        <w:t>Te reo Māori fluency is not required. Fluent speakers are part of our team, and funded professional learning is available for kaiako who want to strengthen their reo.</w:t>
      </w:r>
    </w:p>
    <w:p>
      <w:pPr>
        <w:pStyle w:val="Heading1"/>
      </w:pPr>
      <w:r>
        <w:t>What Mauri offers</w:t>
      </w:r>
    </w:p>
    <w:p>
      <w:pPr>
        <w:pStyle w:val="ListBullet"/>
        <w:spacing w:after="40"/>
      </w:pPr>
      <w:r>
        <w:t>Full pay parity remuneration, based on your qualifications and teaching experience.</w:t>
      </w:r>
    </w:p>
    <w:p>
      <w:pPr>
        <w:pStyle w:val="ListBullet"/>
        <w:spacing w:after="40"/>
      </w:pPr>
      <w:r>
        <w:t>Flexible part-time hours, with days and hours negotiable and potential for full-time employment.</w:t>
      </w:r>
    </w:p>
    <w:p>
      <w:pPr>
        <w:pStyle w:val="ListBullet"/>
        <w:spacing w:after="40"/>
      </w:pPr>
      <w:r>
        <w:t>Funded te reo Māori professional learning.</w:t>
      </w:r>
    </w:p>
    <w:p>
      <w:pPr>
        <w:pStyle w:val="ListBullet"/>
        <w:spacing w:after="40"/>
      </w:pPr>
      <w:r>
        <w:t>A supportive team where ideas, initiative and professional growth can shape innovative practice in a growing reo rua centre.</w:t>
      </w:r>
    </w:p>
    <w:sectPr w:rsidR="00FC693F" w:rsidRPr="0006063C" w:rsidSect="00034616">
      <w:footerReference w:type="default" r:id="rId10"/>
      <w:pgSz w:w="12240" w:h="15840"/>
      <w:pgMar w:top="893" w:right="1123" w:bottom="893"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jc w:val="center"/>
    </w:pPr>
    <w:r>
      <w:rPr>
        <w:rFonts w:ascii="Aptos" w:hAnsi="Aptos"/>
        <w:color w:val="5A5A5A"/>
        <w:sz w:val="16"/>
      </w:rPr>
      <w:t>Mauri: Centre of Innovation  •  2 Shortland Street, Regent, Whangārei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olor w:val="23232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w:hAnsi="Aptos"/>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w:hAnsi="Aptos"/>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before="0"/>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